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631C0B">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00006</w:t>
      </w:r>
      <w:r w:rsidR="00BF70B2" w:rsidRPr="00535456">
        <w:rPr>
          <w:rFonts w:ascii="Palatino Linotype" w:hAnsi="Palatino Linotype" w:cs="Arial"/>
          <w:b/>
          <w:bCs/>
        </w:rPr>
        <w:t>/INFOEM/IP/RR/201</w:t>
      </w:r>
      <w:r w:rsidR="00E92479">
        <w:rPr>
          <w:rFonts w:ascii="Palatino Linotype" w:hAnsi="Palatino Linotype" w:cs="Arial"/>
          <w:b/>
          <w:bCs/>
        </w:rPr>
        <w:t>9</w:t>
      </w:r>
      <w:r w:rsidR="00BF70B2" w:rsidRPr="00535456">
        <w:rPr>
          <w:rFonts w:ascii="Palatino Linotype" w:hAnsi="Palatino Linotype" w:cs="Arial"/>
          <w:b/>
          <w:bCs/>
        </w:rPr>
        <w:t>.</w:t>
      </w:r>
    </w:p>
    <w:p w:rsidR="00F579EE" w:rsidRPr="00535456" w:rsidRDefault="00A517EA" w:rsidP="00631C0B">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E92479">
        <w:rPr>
          <w:rFonts w:ascii="Palatino Linotype" w:hAnsi="Palatino Linotype" w:cs="Arial"/>
          <w:b/>
          <w:bCs/>
        </w:rPr>
        <w:t>00006</w:t>
      </w:r>
      <w:r w:rsidR="00670931" w:rsidRPr="00535456">
        <w:rPr>
          <w:rFonts w:ascii="Palatino Linotype" w:hAnsi="Palatino Linotype" w:cs="Arial"/>
          <w:b/>
          <w:bCs/>
        </w:rPr>
        <w:t>/INFOEM/IP/RR/201</w:t>
      </w:r>
      <w:r w:rsidR="00E92479">
        <w:rPr>
          <w:rFonts w:ascii="Palatino Linotype" w:hAnsi="Palatino Linotype" w:cs="Arial"/>
          <w:b/>
          <w:bCs/>
        </w:rPr>
        <w:t>9</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823404" w:rsidRPr="00535456">
        <w:rPr>
          <w:rFonts w:ascii="Palatino Linotype" w:hAnsi="Palatino Linotype" w:cs="Arial"/>
        </w:rPr>
        <w:t>el Comisionado</w:t>
      </w:r>
      <w:r w:rsidRPr="00535456">
        <w:rPr>
          <w:rFonts w:ascii="Palatino Linotype" w:hAnsi="Palatino Linotype" w:cs="Arial"/>
        </w:rPr>
        <w:t xml:space="preserve"> </w:t>
      </w:r>
      <w:r w:rsidR="00E92479">
        <w:rPr>
          <w:rFonts w:ascii="Palatino Linotype" w:hAnsi="Palatino Linotype" w:cs="Arial"/>
          <w:b/>
        </w:rPr>
        <w:t>LUIS GUSTAVO PARRA NORIEGA</w:t>
      </w:r>
      <w:r w:rsidR="00E92479" w:rsidRPr="00535456">
        <w:rPr>
          <w:rFonts w:ascii="Palatino Linotype" w:hAnsi="Palatino Linotype" w:cs="Arial"/>
        </w:rPr>
        <w:t xml:space="preserve"> </w:t>
      </w:r>
      <w:r w:rsidR="003C5476" w:rsidRPr="00535456">
        <w:rPr>
          <w:rFonts w:ascii="Palatino Linotype" w:hAnsi="Palatino Linotype" w:cs="Arial"/>
        </w:rPr>
        <w:t>que es del tenor siguiente.</w:t>
      </w:r>
    </w:p>
    <w:p w:rsidR="003B0314" w:rsidRDefault="00A517EA" w:rsidP="00631C0B">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631C0B" w:rsidRPr="00734CD7" w:rsidRDefault="00631C0B" w:rsidP="00631C0B">
      <w:pPr>
        <w:spacing w:before="100" w:beforeAutospacing="1" w:after="100" w:afterAutospacing="1" w:line="360" w:lineRule="auto"/>
        <w:jc w:val="both"/>
        <w:rPr>
          <w:rFonts w:ascii="Palatino Linotype" w:hAnsi="Palatino Linotype"/>
        </w:rPr>
      </w:pPr>
      <w:r w:rsidRPr="00734CD7">
        <w:rPr>
          <w:rFonts w:ascii="Palatino Linotype" w:hAnsi="Palatino Linotype"/>
        </w:rPr>
        <w:t>Ta</w:t>
      </w:r>
      <w:r w:rsidR="00CE71FD">
        <w:rPr>
          <w:rFonts w:ascii="Palatino Linotype" w:hAnsi="Palatino Linotype"/>
        </w:rPr>
        <w:t>l</w:t>
      </w:r>
      <w:r w:rsidRPr="00734CD7">
        <w:rPr>
          <w:rFonts w:ascii="Palatino Linotype" w:hAnsi="Palatino Linotype"/>
        </w:rPr>
        <w:t xml:space="preserve"> y como quedó precisado en los resultandos de la resolución materia del presente voto, el particular requirió de la Secretaría de Educación, en lo sucesivo </w:t>
      </w:r>
      <w:r w:rsidRPr="00734CD7">
        <w:rPr>
          <w:rFonts w:ascii="Palatino Linotype" w:hAnsi="Palatino Linotype"/>
          <w:b/>
        </w:rPr>
        <w:t>EL SUJETO OBLIGADO</w:t>
      </w:r>
      <w:r w:rsidRPr="00734CD7">
        <w:rPr>
          <w:rFonts w:ascii="Palatino Linotype" w:hAnsi="Palatino Linotype"/>
        </w:rPr>
        <w:t xml:space="preserve">, las razones por las que la Directora de la </w:t>
      </w:r>
      <w:r w:rsidR="00296A29" w:rsidRPr="00734CD7">
        <w:rPr>
          <w:rFonts w:ascii="Palatino Linotype" w:hAnsi="Palatino Linotype"/>
        </w:rPr>
        <w:t xml:space="preserve">Escuela </w:t>
      </w:r>
      <w:r>
        <w:rPr>
          <w:rFonts w:ascii="Palatino Linotype" w:hAnsi="Palatino Linotype"/>
        </w:rPr>
        <w:t xml:space="preserve">Normal </w:t>
      </w:r>
      <w:r w:rsidR="00296A29">
        <w:rPr>
          <w:rFonts w:ascii="Palatino Linotype" w:hAnsi="Palatino Linotype"/>
        </w:rPr>
        <w:t xml:space="preserve">Número </w:t>
      </w:r>
      <w:r>
        <w:rPr>
          <w:rFonts w:ascii="Palatino Linotype" w:hAnsi="Palatino Linotype"/>
        </w:rPr>
        <w:t xml:space="preserve">3 de </w:t>
      </w:r>
      <w:r>
        <w:rPr>
          <w:rFonts w:ascii="Palatino Linotype" w:hAnsi="Palatino Linotype"/>
        </w:rPr>
        <w:lastRenderedPageBreak/>
        <w:t>Toluca otorgó</w:t>
      </w:r>
      <w:r w:rsidRPr="00734CD7">
        <w:rPr>
          <w:rFonts w:ascii="Palatino Linotype" w:hAnsi="Palatino Linotype"/>
        </w:rPr>
        <w:t xml:space="preserve"> regalos a amistades; asimismo, solicitó se realizara una revisión exhaustiva del gasto de dicha institución educativa; el origen del recurso económico con el cual se pagaron arcones y el destino de los recursos federales, estatales y de aportaciones de padres de familia.</w:t>
      </w:r>
    </w:p>
    <w:p w:rsidR="00631C0B" w:rsidRPr="00734CD7" w:rsidRDefault="00631C0B" w:rsidP="00631C0B">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734CD7">
        <w:rPr>
          <w:rFonts w:ascii="Palatino Linotype" w:eastAsia="Calibri" w:hAnsi="Palatino Linotype" w:cs="Tahoma"/>
          <w:iCs/>
          <w:lang w:val="es-ES" w:eastAsia="es-ES_tradnl"/>
        </w:rPr>
        <w:t xml:space="preserve">Al respecto, </w:t>
      </w:r>
      <w:r w:rsidRPr="00734CD7">
        <w:rPr>
          <w:rFonts w:ascii="Palatino Linotype" w:eastAsia="Calibri" w:hAnsi="Palatino Linotype" w:cs="Tahoma"/>
          <w:b/>
          <w:iCs/>
          <w:lang w:val="es-ES" w:eastAsia="es-ES_tradnl"/>
        </w:rPr>
        <w:t>EL SUJETO OBLIGADO</w:t>
      </w:r>
      <w:r w:rsidRPr="00734CD7">
        <w:rPr>
          <w:rFonts w:ascii="Palatino Linotype" w:eastAsia="Calibri" w:hAnsi="Palatino Linotype" w:cs="Tahoma"/>
          <w:iCs/>
          <w:lang w:val="es-ES" w:eastAsia="es-ES_tradnl"/>
        </w:rPr>
        <w:t xml:space="preserve"> requirió que el particular aclarara su solicitud, a fin de que especificara el documento al que pretendía acceso ya que consideró que la solicitud de origen no consistía </w:t>
      </w:r>
      <w:r>
        <w:rPr>
          <w:rFonts w:ascii="Palatino Linotype" w:eastAsia="Calibri" w:hAnsi="Palatino Linotype" w:cs="Tahoma"/>
          <w:iCs/>
          <w:lang w:val="es-ES" w:eastAsia="es-ES_tradnl"/>
        </w:rPr>
        <w:t xml:space="preserve">en </w:t>
      </w:r>
      <w:r w:rsidRPr="00734CD7">
        <w:rPr>
          <w:rFonts w:ascii="Palatino Linotype" w:eastAsia="Calibri" w:hAnsi="Palatino Linotype" w:cs="Tahoma"/>
          <w:iCs/>
          <w:lang w:val="es-ES" w:eastAsia="es-ES_tradnl"/>
        </w:rPr>
        <w:t xml:space="preserve">el ejercicio del derecho de acceso a la información pública sino </w:t>
      </w:r>
      <w:r>
        <w:rPr>
          <w:rFonts w:ascii="Palatino Linotype" w:eastAsia="Calibri" w:hAnsi="Palatino Linotype" w:cs="Tahoma"/>
          <w:iCs/>
          <w:lang w:val="es-ES" w:eastAsia="es-ES_tradnl"/>
        </w:rPr>
        <w:t xml:space="preserve">en </w:t>
      </w:r>
      <w:r w:rsidRPr="00734CD7">
        <w:rPr>
          <w:rFonts w:ascii="Palatino Linotype" w:eastAsia="Calibri" w:hAnsi="Palatino Linotype" w:cs="Tahoma"/>
          <w:iCs/>
          <w:lang w:val="es-ES" w:eastAsia="es-ES_tradnl"/>
        </w:rPr>
        <w:t>una queja.</w:t>
      </w:r>
    </w:p>
    <w:p w:rsidR="00631C0B" w:rsidRPr="00734CD7" w:rsidRDefault="00631C0B" w:rsidP="00631C0B">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734CD7">
        <w:rPr>
          <w:rFonts w:ascii="Palatino Linotype" w:eastAsia="Calibri" w:hAnsi="Palatino Linotype" w:cs="Tahoma"/>
          <w:iCs/>
          <w:lang w:val="es-ES" w:eastAsia="es-ES_tradnl"/>
        </w:rPr>
        <w:t xml:space="preserve">Hecho lo anterior, se advierte que el particular no atendió el requerimiento de aclaración realizado por </w:t>
      </w:r>
      <w:r w:rsidRPr="00734CD7">
        <w:rPr>
          <w:rFonts w:ascii="Palatino Linotype" w:eastAsia="Calibri" w:hAnsi="Palatino Linotype" w:cs="Tahoma"/>
          <w:b/>
          <w:iCs/>
          <w:lang w:val="es-ES" w:eastAsia="es-ES_tradnl"/>
        </w:rPr>
        <w:t>EL SUJETO OBLIGADO</w:t>
      </w:r>
      <w:r w:rsidRPr="00734CD7">
        <w:rPr>
          <w:rFonts w:ascii="Palatino Linotype" w:eastAsia="Calibri" w:hAnsi="Palatino Linotype" w:cs="Tahoma"/>
          <w:iCs/>
          <w:lang w:val="es-ES" w:eastAsia="es-ES_tradnl"/>
        </w:rPr>
        <w:t>, por lo que, este último tuvo por no presentada la solicitud de acceso a la información.</w:t>
      </w:r>
    </w:p>
    <w:p w:rsidR="00631C0B" w:rsidRPr="00734CD7" w:rsidRDefault="00631C0B" w:rsidP="00631C0B">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734CD7">
        <w:rPr>
          <w:rFonts w:ascii="Palatino Linotype" w:eastAsia="Calibri" w:hAnsi="Palatino Linotype" w:cs="Tahoma"/>
          <w:iCs/>
          <w:lang w:val="es-ES" w:eastAsia="es-ES_tradnl"/>
        </w:rPr>
        <w:t xml:space="preserve">Inconforme con dicha determinación, el hoy </w:t>
      </w:r>
      <w:r w:rsidRPr="00734CD7">
        <w:rPr>
          <w:rFonts w:ascii="Palatino Linotype" w:eastAsia="Calibri" w:hAnsi="Palatino Linotype" w:cs="Tahoma"/>
          <w:b/>
          <w:iCs/>
          <w:lang w:val="es-ES" w:eastAsia="es-ES_tradnl"/>
        </w:rPr>
        <w:t>RECURRENTE</w:t>
      </w:r>
      <w:r w:rsidRPr="00734CD7">
        <w:rPr>
          <w:rFonts w:ascii="Palatino Linotype" w:eastAsia="Calibri" w:hAnsi="Palatino Linotype" w:cs="Tahoma"/>
          <w:iCs/>
          <w:lang w:val="es-ES" w:eastAsia="es-ES_tradnl"/>
        </w:rPr>
        <w:t xml:space="preserve"> interpuso el medio de defensa de análisis, en el cual argumentó que </w:t>
      </w:r>
      <w:r w:rsidRPr="00734CD7">
        <w:rPr>
          <w:rFonts w:ascii="Palatino Linotype" w:eastAsia="Calibri" w:hAnsi="Palatino Linotype" w:cs="Tahoma"/>
          <w:b/>
          <w:iCs/>
          <w:lang w:val="es-ES" w:eastAsia="es-ES_tradnl"/>
        </w:rPr>
        <w:t>EL SUJETO OBLIGADO</w:t>
      </w:r>
      <w:r w:rsidRPr="00734CD7">
        <w:rPr>
          <w:rFonts w:ascii="Palatino Linotype" w:eastAsia="Calibri" w:hAnsi="Palatino Linotype" w:cs="Tahoma"/>
          <w:iCs/>
          <w:lang w:val="es-ES" w:eastAsia="es-ES_tradnl"/>
        </w:rPr>
        <w:t xml:space="preserve"> no dio respuesta a su solicitud.</w:t>
      </w:r>
    </w:p>
    <w:p w:rsidR="00631C0B" w:rsidRPr="00734CD7" w:rsidRDefault="00631C0B" w:rsidP="00631C0B">
      <w:pPr>
        <w:tabs>
          <w:tab w:val="left" w:pos="4962"/>
        </w:tabs>
        <w:spacing w:before="100" w:beforeAutospacing="1" w:after="100" w:afterAutospacing="1" w:line="360" w:lineRule="auto"/>
        <w:jc w:val="both"/>
        <w:rPr>
          <w:rFonts w:ascii="Palatino Linotype" w:hAnsi="Palatino Linotype" w:cs="Tahoma"/>
          <w:i/>
        </w:rPr>
      </w:pPr>
      <w:r w:rsidRPr="00734CD7">
        <w:rPr>
          <w:rFonts w:ascii="Palatino Linotype" w:eastAsia="Calibri" w:hAnsi="Palatino Linotype" w:cs="Tahoma"/>
          <w:iCs/>
          <w:lang w:val="es-ES" w:eastAsia="es-ES_tradnl"/>
        </w:rPr>
        <w:t xml:space="preserve">Posteriormente, </w:t>
      </w:r>
      <w:r w:rsidRPr="00734CD7">
        <w:rPr>
          <w:rFonts w:ascii="Palatino Linotype" w:eastAsia="Calibri" w:hAnsi="Palatino Linotype" w:cs="Tahoma"/>
          <w:b/>
          <w:iCs/>
          <w:lang w:val="es-ES" w:eastAsia="es-ES_tradnl"/>
        </w:rPr>
        <w:t>EL SUJETO OBLIGADO</w:t>
      </w:r>
      <w:r w:rsidRPr="00734CD7">
        <w:rPr>
          <w:rFonts w:ascii="Palatino Linotype" w:eastAsia="Calibri" w:hAnsi="Palatino Linotype" w:cs="Tahoma"/>
          <w:iCs/>
          <w:lang w:val="es-ES" w:eastAsia="es-ES_tradnl"/>
        </w:rPr>
        <w:t xml:space="preserve"> rindió su Informe Justificado, en el cual reiteró su decisión y manifestó </w:t>
      </w:r>
      <w:r w:rsidRPr="00734CD7">
        <w:rPr>
          <w:rFonts w:ascii="Palatino Linotype" w:eastAsia="Calibri" w:hAnsi="Palatino Linotype" w:cs="Tahoma"/>
          <w:i/>
          <w:iCs/>
          <w:lang w:val="es-ES" w:eastAsia="es-ES_tradnl"/>
        </w:rPr>
        <w:t xml:space="preserve">“que </w:t>
      </w:r>
      <w:r w:rsidRPr="00734CD7">
        <w:rPr>
          <w:rFonts w:ascii="Palatino Linotype" w:hAnsi="Palatino Linotype" w:cs="Tahoma"/>
          <w:i/>
        </w:rPr>
        <w:t xml:space="preserve">del Presupuesto Anual de Egresos no se designa ninguna prestación económica a las escuelas por parte de la Secretaría de Educación del Gobierno del Estado de México, ya que de acuerdo al objeto de gasto, a las escuelas solo se les apoya con lo concerniente a la partida 1000 que se refiere al pago de salarios del personal al </w:t>
      </w:r>
      <w:r w:rsidRPr="00734CD7">
        <w:rPr>
          <w:rFonts w:ascii="Palatino Linotype" w:hAnsi="Palatino Linotype" w:cs="Tahoma"/>
          <w:i/>
        </w:rPr>
        <w:lastRenderedPageBreak/>
        <w:t>servicio de las mismas, el cual no se otorga, brinda o deposita a las escuelas, sino que se le otorga a cada uno de los maestros que prestan sus servicios en los centros educativos estatales.” (Sic)</w:t>
      </w:r>
    </w:p>
    <w:p w:rsidR="00631C0B" w:rsidRPr="00734CD7" w:rsidRDefault="00631C0B" w:rsidP="00631C0B">
      <w:pPr>
        <w:tabs>
          <w:tab w:val="left" w:pos="4962"/>
        </w:tabs>
        <w:spacing w:before="100" w:beforeAutospacing="1" w:after="100" w:afterAutospacing="1" w:line="360" w:lineRule="auto"/>
        <w:jc w:val="both"/>
        <w:rPr>
          <w:rFonts w:ascii="Palatino Linotype" w:eastAsia="Calibri" w:hAnsi="Palatino Linotype" w:cs="Tahoma"/>
          <w:iCs/>
          <w:lang w:val="es-ES" w:eastAsia="es-ES_tradnl"/>
        </w:rPr>
      </w:pPr>
      <w:r w:rsidRPr="00734CD7">
        <w:rPr>
          <w:rFonts w:ascii="Palatino Linotype" w:eastAsia="Calibri" w:hAnsi="Palatino Linotype" w:cs="Tahoma"/>
          <w:iCs/>
          <w:lang w:val="es-ES" w:eastAsia="es-ES_tradnl"/>
        </w:rPr>
        <w:t xml:space="preserve">Bajo ese contexto, la Ponencia Resolutora analizó la totalidad de constancias que integran el expediente electrónico del </w:t>
      </w:r>
      <w:r w:rsidRPr="00734CD7">
        <w:rPr>
          <w:rFonts w:ascii="Palatino Linotype" w:eastAsia="Calibri" w:hAnsi="Palatino Linotype" w:cs="Tahoma"/>
          <w:b/>
          <w:iCs/>
          <w:lang w:val="es-ES" w:eastAsia="es-ES_tradnl"/>
        </w:rPr>
        <w:t>SAIMEX</w:t>
      </w:r>
      <w:r w:rsidRPr="00734CD7">
        <w:rPr>
          <w:rFonts w:ascii="Palatino Linotype" w:eastAsia="Calibri" w:hAnsi="Palatino Linotype" w:cs="Tahoma"/>
          <w:iCs/>
          <w:lang w:val="es-ES" w:eastAsia="es-ES_tradnl"/>
        </w:rPr>
        <w:t xml:space="preserve"> y, previo análisis del fondo del asunto, determinó que las razones o motivos de inconformidad hechos valer por </w:t>
      </w:r>
      <w:r w:rsidRPr="00734CD7">
        <w:rPr>
          <w:rFonts w:ascii="Palatino Linotype" w:eastAsia="Calibri" w:hAnsi="Palatino Linotype" w:cs="Tahoma"/>
          <w:b/>
          <w:iCs/>
          <w:lang w:val="es-ES" w:eastAsia="es-ES_tradnl"/>
        </w:rPr>
        <w:t>EL RECURRENTE</w:t>
      </w:r>
      <w:r w:rsidRPr="00734CD7">
        <w:rPr>
          <w:rFonts w:ascii="Palatino Linotype" w:eastAsia="Calibri" w:hAnsi="Palatino Linotype" w:cs="Tahoma"/>
          <w:iCs/>
          <w:lang w:val="es-ES" w:eastAsia="es-ES_tradnl"/>
        </w:rPr>
        <w:t xml:space="preserve"> devenían fundadas y ordenó al </w:t>
      </w:r>
      <w:r w:rsidRPr="00734CD7">
        <w:rPr>
          <w:rFonts w:ascii="Palatino Linotype" w:eastAsia="Calibri" w:hAnsi="Palatino Linotype" w:cs="Tahoma"/>
          <w:b/>
          <w:iCs/>
          <w:lang w:val="es-ES" w:eastAsia="es-ES_tradnl"/>
        </w:rPr>
        <w:t>SUJETO OBLIGADO</w:t>
      </w:r>
      <w:r w:rsidRPr="00734CD7">
        <w:rPr>
          <w:rFonts w:ascii="Palatino Linotype" w:eastAsia="Calibri" w:hAnsi="Palatino Linotype" w:cs="Tahoma"/>
          <w:iCs/>
          <w:lang w:val="es-ES" w:eastAsia="es-ES_tradnl"/>
        </w:rPr>
        <w:t xml:space="preserve"> remitiera, en versión pública, el o </w:t>
      </w:r>
      <w:r w:rsidRPr="00734CD7">
        <w:rPr>
          <w:rFonts w:ascii="Palatino Linotype" w:eastAsia="Calibri" w:hAnsi="Palatino Linotype" w:cs="Tahoma"/>
          <w:bCs/>
          <w:lang w:val="es-ES_tradnl" w:eastAsia="en-US"/>
        </w:rPr>
        <w:t>los documentos donde consten los egresos de la</w:t>
      </w:r>
      <w:r w:rsidRPr="00734CD7">
        <w:rPr>
          <w:rFonts w:ascii="Palatino Linotype" w:eastAsia="Calibri" w:hAnsi="Palatino Linotype" w:cs="Tahoma"/>
          <w:bCs/>
          <w:lang w:val="es-ES_tradnl"/>
        </w:rPr>
        <w:t xml:space="preserve"> </w:t>
      </w:r>
      <w:r w:rsidR="00296A29" w:rsidRPr="00734CD7">
        <w:rPr>
          <w:rFonts w:ascii="Palatino Linotype" w:eastAsia="Calibri" w:hAnsi="Palatino Linotype" w:cs="Tahoma"/>
          <w:bCs/>
          <w:lang w:val="es-ES_tradnl"/>
        </w:rPr>
        <w:t>Escuela</w:t>
      </w:r>
      <w:r w:rsidR="00296A29" w:rsidRPr="00734CD7">
        <w:rPr>
          <w:rFonts w:ascii="Palatino Linotype" w:eastAsia="Calibri" w:hAnsi="Palatino Linotype" w:cs="Tahoma"/>
          <w:bCs/>
          <w:lang w:val="es-ES_tradnl" w:eastAsia="en-US"/>
        </w:rPr>
        <w:t xml:space="preserve"> </w:t>
      </w:r>
      <w:r w:rsidRPr="00734CD7">
        <w:rPr>
          <w:rFonts w:ascii="Palatino Linotype" w:eastAsia="Calibri" w:hAnsi="Palatino Linotype" w:cs="Tahoma"/>
          <w:bCs/>
          <w:lang w:val="es-ES_tradnl" w:eastAsia="en-US"/>
        </w:rPr>
        <w:t xml:space="preserve">Normal </w:t>
      </w:r>
      <w:r w:rsidR="00296A29" w:rsidRPr="00734CD7">
        <w:rPr>
          <w:rFonts w:ascii="Palatino Linotype" w:eastAsia="Calibri" w:hAnsi="Palatino Linotype" w:cs="Tahoma"/>
          <w:bCs/>
          <w:lang w:val="es-ES_tradnl"/>
        </w:rPr>
        <w:t xml:space="preserve">Número </w:t>
      </w:r>
      <w:r w:rsidRPr="00734CD7">
        <w:rPr>
          <w:rFonts w:ascii="Palatino Linotype" w:eastAsia="Calibri" w:hAnsi="Palatino Linotype" w:cs="Tahoma"/>
          <w:bCs/>
          <w:lang w:val="es-ES_tradnl" w:eastAsia="en-US"/>
        </w:rPr>
        <w:t xml:space="preserve">3 de Toluca, del </w:t>
      </w:r>
      <w:r w:rsidRPr="00734CD7">
        <w:rPr>
          <w:rFonts w:ascii="Palatino Linotype" w:eastAsia="Calibri" w:hAnsi="Palatino Linotype" w:cs="Tahoma"/>
          <w:bCs/>
          <w:lang w:val="es-ES_tradnl"/>
        </w:rPr>
        <w:t>30</w:t>
      </w:r>
      <w:r w:rsidRPr="00734CD7">
        <w:rPr>
          <w:rFonts w:ascii="Palatino Linotype" w:eastAsia="Calibri" w:hAnsi="Palatino Linotype" w:cs="Tahoma"/>
          <w:bCs/>
          <w:lang w:val="es-ES_tradnl" w:eastAsia="en-US"/>
        </w:rPr>
        <w:t xml:space="preserve"> de noviembre de </w:t>
      </w:r>
      <w:r w:rsidRPr="00734CD7">
        <w:rPr>
          <w:rFonts w:ascii="Palatino Linotype" w:eastAsia="Calibri" w:hAnsi="Palatino Linotype" w:cs="Tahoma"/>
          <w:bCs/>
          <w:lang w:val="es-ES_tradnl"/>
        </w:rPr>
        <w:t>2017</w:t>
      </w:r>
      <w:r w:rsidRPr="00734CD7">
        <w:rPr>
          <w:rFonts w:ascii="Palatino Linotype" w:eastAsia="Calibri" w:hAnsi="Palatino Linotype" w:cs="Tahoma"/>
          <w:bCs/>
          <w:lang w:val="es-ES_tradnl" w:eastAsia="en-US"/>
        </w:rPr>
        <w:t xml:space="preserve"> al </w:t>
      </w:r>
      <w:r w:rsidRPr="00734CD7">
        <w:rPr>
          <w:rFonts w:ascii="Palatino Linotype" w:eastAsia="Calibri" w:hAnsi="Palatino Linotype" w:cs="Tahoma"/>
          <w:bCs/>
          <w:lang w:val="es-ES_tradnl"/>
        </w:rPr>
        <w:t>30</w:t>
      </w:r>
      <w:r w:rsidRPr="00734CD7">
        <w:rPr>
          <w:rFonts w:ascii="Palatino Linotype" w:eastAsia="Calibri" w:hAnsi="Palatino Linotype" w:cs="Tahoma"/>
          <w:bCs/>
          <w:lang w:val="es-ES_tradnl" w:eastAsia="en-US"/>
        </w:rPr>
        <w:t xml:space="preserve"> de noviembre de </w:t>
      </w:r>
      <w:r w:rsidRPr="00734CD7">
        <w:rPr>
          <w:rFonts w:ascii="Palatino Linotype" w:eastAsia="Calibri" w:hAnsi="Palatino Linotype" w:cs="Tahoma"/>
          <w:bCs/>
          <w:lang w:val="es-ES_tradnl"/>
        </w:rPr>
        <w:t>2018</w:t>
      </w:r>
      <w:r w:rsidRPr="00734CD7">
        <w:rPr>
          <w:rFonts w:ascii="Palatino Linotype" w:eastAsia="Calibri" w:hAnsi="Palatino Linotype" w:cs="Tahoma"/>
          <w:iCs/>
          <w:lang w:val="es-ES" w:eastAsia="es-ES_tradnl"/>
        </w:rPr>
        <w:t>.</w:t>
      </w:r>
    </w:p>
    <w:p w:rsidR="00631C0B" w:rsidRDefault="00631C0B" w:rsidP="00631C0B">
      <w:pPr>
        <w:spacing w:before="100" w:beforeAutospacing="1" w:after="100" w:afterAutospacing="1" w:line="360" w:lineRule="auto"/>
        <w:jc w:val="both"/>
        <w:rPr>
          <w:rFonts w:ascii="Palatino Linotype" w:hAnsi="Palatino Linotype"/>
        </w:rPr>
      </w:pPr>
      <w:r>
        <w:rPr>
          <w:rFonts w:ascii="Palatino Linotype" w:hAnsi="Palatino Linotype"/>
        </w:rPr>
        <w:t xml:space="preserve">Así las cosas, la suscrita reitera que si bien comparte el sentido en que se resuelve el Recurso de Revisión, también estima que, toda vez que la aclaración realizada por </w:t>
      </w:r>
      <w:r w:rsidRPr="002B3EDB">
        <w:rPr>
          <w:rFonts w:ascii="Palatino Linotype" w:hAnsi="Palatino Linotype"/>
          <w:b/>
        </w:rPr>
        <w:t>EL SUJETO OBLIGADO</w:t>
      </w:r>
      <w:r>
        <w:rPr>
          <w:rFonts w:ascii="Palatino Linotype" w:hAnsi="Palatino Linotype"/>
        </w:rPr>
        <w:t xml:space="preserve"> resultaba improcedente y, en consecuencia, la determinación de tener por no presentada la solicitud de acceso a la información infundada; la Ponencia Resolutora debió ordenar dar vista al Titular del </w:t>
      </w:r>
      <w:r w:rsidRPr="002B3EDB">
        <w:rPr>
          <w:rFonts w:ascii="Palatino Linotype" w:hAnsi="Palatino Linotype"/>
        </w:rPr>
        <w:t>Órgano de Control Interno de Verificación y Vigilancia de este Instituto</w:t>
      </w:r>
      <w:r>
        <w:rPr>
          <w:rFonts w:ascii="Palatino Linotype" w:hAnsi="Palatino Linotype"/>
        </w:rPr>
        <w:t>,</w:t>
      </w:r>
      <w:r w:rsidRPr="002B3EDB">
        <w:rPr>
          <w:rFonts w:ascii="Palatino Linotype" w:hAnsi="Palatino Linotype"/>
        </w:rPr>
        <w:t xml:space="preserve"> a fin de que en el ejercicio de sus atribuciones determinara lo conducente</w:t>
      </w:r>
      <w:r>
        <w:rPr>
          <w:rFonts w:ascii="Palatino Linotype" w:hAnsi="Palatino Linotype"/>
        </w:rPr>
        <w:t>.</w:t>
      </w:r>
    </w:p>
    <w:p w:rsidR="00631C0B" w:rsidRDefault="00631C0B" w:rsidP="00631C0B">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es así, debido a que el artículo 159 de la Ley de Transparencia y Acceso a la Información Pública del Estado de México y Municipios establece que cuando los detalles proporcionados para localizar documentos resulten insuficientes, incompletos o sean erróneos, la Unidad de Transparencia de los Sujetos Obligados puede requerir </w:t>
      </w:r>
      <w:r>
        <w:rPr>
          <w:rFonts w:ascii="Palatino Linotype" w:hAnsi="Palatino Linotype"/>
        </w:rPr>
        <w:lastRenderedPageBreak/>
        <w:t>a los solicitantes para que complementen, corrijan o amplíen los datos proporcionados, o bien precisen uno o varios requerimientos de información.</w:t>
      </w:r>
    </w:p>
    <w:p w:rsidR="00631C0B" w:rsidRDefault="00631C0B" w:rsidP="00631C0B">
      <w:pPr>
        <w:spacing w:before="100" w:beforeAutospacing="1" w:after="100" w:afterAutospacing="1" w:line="360" w:lineRule="auto"/>
        <w:jc w:val="both"/>
        <w:rPr>
          <w:rFonts w:ascii="Palatino Linotype" w:hAnsi="Palatino Linotype"/>
        </w:rPr>
      </w:pPr>
      <w:r>
        <w:rPr>
          <w:rFonts w:ascii="Palatino Linotype" w:hAnsi="Palatino Linotype"/>
        </w:rPr>
        <w:t>Asimismo, el precepto citado en su tercer párrafo establece que las</w:t>
      </w:r>
      <w:r w:rsidRPr="00734CD7">
        <w:rPr>
          <w:rFonts w:ascii="Palatino Linotype" w:hAnsi="Palatino Linotype"/>
        </w:rPr>
        <w:t xml:space="preserve"> solicitud</w:t>
      </w:r>
      <w:r>
        <w:rPr>
          <w:rFonts w:ascii="Palatino Linotype" w:hAnsi="Palatino Linotype"/>
        </w:rPr>
        <w:t>es</w:t>
      </w:r>
      <w:r w:rsidRPr="00734CD7">
        <w:rPr>
          <w:rFonts w:ascii="Palatino Linotype" w:hAnsi="Palatino Linotype"/>
        </w:rPr>
        <w:t xml:space="preserve"> se tendrá</w:t>
      </w:r>
      <w:r>
        <w:rPr>
          <w:rFonts w:ascii="Palatino Linotype" w:hAnsi="Palatino Linotype"/>
        </w:rPr>
        <w:t>n</w:t>
      </w:r>
      <w:r w:rsidRPr="00734CD7">
        <w:rPr>
          <w:rFonts w:ascii="Palatino Linotype" w:hAnsi="Palatino Linotype"/>
        </w:rPr>
        <w:t xml:space="preserve"> por no presentada</w:t>
      </w:r>
      <w:r>
        <w:rPr>
          <w:rFonts w:ascii="Palatino Linotype" w:hAnsi="Palatino Linotype"/>
        </w:rPr>
        <w:t>s</w:t>
      </w:r>
      <w:r w:rsidRPr="00734CD7">
        <w:rPr>
          <w:rFonts w:ascii="Palatino Linotype" w:hAnsi="Palatino Linotype"/>
        </w:rPr>
        <w:t xml:space="preserve"> cuando los solicitantes no atiendan el requerimiento de información adicional, </w:t>
      </w:r>
      <w:r w:rsidRPr="00734CD7">
        <w:rPr>
          <w:rFonts w:ascii="Palatino Linotype" w:hAnsi="Palatino Linotype"/>
          <w:b/>
        </w:rPr>
        <w:t>salvo que en la solicitud inicial se aprecien elementos que permitan identificar la información requerida</w:t>
      </w:r>
      <w:r w:rsidRPr="00734CD7">
        <w:rPr>
          <w:rFonts w:ascii="Palatino Linotype" w:hAnsi="Palatino Linotype"/>
        </w:rPr>
        <w:t xml:space="preserve">, </w:t>
      </w:r>
      <w:r>
        <w:rPr>
          <w:rFonts w:ascii="Palatino Linotype" w:hAnsi="Palatino Linotype"/>
        </w:rPr>
        <w:t>situación que en la especie aconteció. Sirve de sustento a lo anterior el artículo en comento, mismo que es del tenor siguiente:</w:t>
      </w:r>
    </w:p>
    <w:p w:rsidR="00631C0B" w:rsidRPr="00631C0B" w:rsidRDefault="00631C0B" w:rsidP="00631C0B">
      <w:pPr>
        <w:spacing w:before="100" w:beforeAutospacing="1" w:after="100" w:afterAutospacing="1"/>
        <w:ind w:left="851" w:right="899"/>
        <w:jc w:val="both"/>
        <w:rPr>
          <w:rFonts w:ascii="Palatino Linotype" w:hAnsi="Palatino Linotype"/>
          <w:i/>
        </w:rPr>
      </w:pPr>
      <w:r w:rsidRPr="00631C0B">
        <w:rPr>
          <w:rFonts w:ascii="Palatino Linotype" w:hAnsi="Palatino Linotype"/>
          <w:i/>
        </w:rPr>
        <w:t xml:space="preserve">“Artículo 159. </w:t>
      </w:r>
      <w:r w:rsidRPr="00631C0B">
        <w:rPr>
          <w:rFonts w:ascii="Palatino Linotype" w:hAnsi="Palatino Linotype"/>
          <w:b/>
          <w:i/>
        </w:rPr>
        <w:t>Cuando los detalles proporcionados para localizar los documentos resulten insuficientes, incompletos o sean erróneos, la Unidad de Transparencia podrá requerir al solicitante</w:t>
      </w:r>
      <w:r w:rsidRPr="00631C0B">
        <w:rPr>
          <w:rFonts w:ascii="Palatino Linotype" w:hAnsi="Palatino Linotype"/>
          <w:i/>
        </w:rPr>
        <w:t xml:space="preserve">, por una sola vez y dentro de un plazo que no podrá exceder de cinco días hábiles contados a partir de la presentación de la solicitud, </w:t>
      </w:r>
      <w:r w:rsidRPr="00631C0B">
        <w:rPr>
          <w:rFonts w:ascii="Palatino Linotype" w:hAnsi="Palatino Linotype"/>
          <w:b/>
          <w:i/>
        </w:rPr>
        <w:t>para que, en un término de hasta diez días hábiles, indique otros elementos que complementen, corrijan o amplíen los datos proporcionados o bien, precise uno o varios requerimientos de información</w:t>
      </w:r>
      <w:r w:rsidRPr="00631C0B">
        <w:rPr>
          <w:rFonts w:ascii="Palatino Linotype" w:hAnsi="Palatino Linotype"/>
          <w:i/>
        </w:rPr>
        <w:t xml:space="preserve">. </w:t>
      </w:r>
    </w:p>
    <w:p w:rsidR="00631C0B" w:rsidRPr="00631C0B" w:rsidRDefault="00631C0B" w:rsidP="00631C0B">
      <w:pPr>
        <w:spacing w:before="100" w:beforeAutospacing="1" w:after="100" w:afterAutospacing="1"/>
        <w:ind w:left="851" w:right="899"/>
        <w:jc w:val="both"/>
        <w:rPr>
          <w:rFonts w:ascii="Palatino Linotype" w:hAnsi="Palatino Linotype"/>
          <w:i/>
        </w:rPr>
      </w:pPr>
      <w:r w:rsidRPr="00631C0B">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631C0B" w:rsidRPr="00631C0B" w:rsidRDefault="00631C0B" w:rsidP="00631C0B">
      <w:pPr>
        <w:spacing w:before="100" w:beforeAutospacing="1" w:after="100" w:afterAutospacing="1"/>
        <w:ind w:left="851" w:right="899"/>
        <w:jc w:val="both"/>
        <w:rPr>
          <w:rFonts w:ascii="Palatino Linotype" w:hAnsi="Palatino Linotype"/>
          <w:i/>
        </w:rPr>
      </w:pPr>
      <w:r w:rsidRPr="00631C0B">
        <w:rPr>
          <w:rFonts w:ascii="Palatino Linotype" w:hAnsi="Palatino Linotype"/>
          <w:b/>
          <w:i/>
        </w:rPr>
        <w:t>La solicitud se tendrá por no presentada cuando los solicitantes no atiendan el requerimiento de información adicional, salvo que en la solicitud inicial se aprecien elementos que permitan identificar la información requerida</w:t>
      </w:r>
      <w:r w:rsidRPr="00631C0B">
        <w:rPr>
          <w:rFonts w:ascii="Palatino Linotype" w:hAnsi="Palatino Linotype"/>
          <w:i/>
        </w:rPr>
        <w:t xml:space="preserve">, quedando a salvo los derechos del particular para volver a presentar su solicitud. </w:t>
      </w:r>
    </w:p>
    <w:p w:rsidR="00631C0B" w:rsidRPr="00631C0B" w:rsidRDefault="00631C0B" w:rsidP="00631C0B">
      <w:pPr>
        <w:spacing w:before="100" w:beforeAutospacing="1" w:after="100" w:afterAutospacing="1"/>
        <w:ind w:left="851" w:right="899"/>
        <w:jc w:val="both"/>
        <w:rPr>
          <w:rFonts w:ascii="Palatino Linotype" w:hAnsi="Palatino Linotype"/>
          <w:i/>
        </w:rPr>
      </w:pPr>
      <w:r w:rsidRPr="00631C0B">
        <w:rPr>
          <w:rFonts w:ascii="Palatino Linotype" w:hAnsi="Palatino Linotype"/>
          <w:i/>
        </w:rPr>
        <w:lastRenderedPageBreak/>
        <w:t xml:space="preserve">En el caso de requerimientos parciales no desahogados, se tendrá por presentada la solicitud por lo que respecta a los contenidos de información que no formaron parte del requerimiento.” </w:t>
      </w:r>
    </w:p>
    <w:p w:rsidR="00631C0B" w:rsidRPr="00631C0B" w:rsidRDefault="00631C0B" w:rsidP="00631C0B">
      <w:pPr>
        <w:spacing w:before="100" w:beforeAutospacing="1" w:after="100" w:afterAutospacing="1"/>
        <w:ind w:left="851" w:right="899"/>
        <w:jc w:val="both"/>
        <w:rPr>
          <w:rFonts w:ascii="Palatino Linotype" w:hAnsi="Palatino Linotype"/>
          <w:i/>
        </w:rPr>
      </w:pPr>
      <w:r w:rsidRPr="00631C0B">
        <w:rPr>
          <w:rFonts w:ascii="Palatino Linotype" w:hAnsi="Palatino Linotype"/>
          <w:i/>
        </w:rPr>
        <w:t>(Énfasis añadido.)</w:t>
      </w:r>
    </w:p>
    <w:p w:rsidR="00631C0B" w:rsidRDefault="00631C0B" w:rsidP="00631C0B">
      <w:pPr>
        <w:tabs>
          <w:tab w:val="left" w:pos="4962"/>
        </w:tabs>
        <w:spacing w:before="100" w:beforeAutospacing="1" w:after="100" w:afterAutospacing="1" w:line="360" w:lineRule="auto"/>
        <w:jc w:val="both"/>
        <w:rPr>
          <w:rFonts w:ascii="Palatino Linotype" w:hAnsi="Palatino Linotype"/>
        </w:rPr>
      </w:pPr>
      <w:r>
        <w:rPr>
          <w:rFonts w:ascii="Palatino Linotype" w:hAnsi="Palatino Linotype"/>
        </w:rPr>
        <w:t>Ahora bien, es importante resaltar que</w:t>
      </w:r>
      <w:r w:rsidRPr="00D10FF9">
        <w:rPr>
          <w:rFonts w:ascii="Palatino Linotype" w:eastAsiaTheme="minorHAnsi" w:hAnsi="Palatino Linotype" w:cstheme="minorBidi"/>
          <w:szCs w:val="22"/>
          <w:lang w:eastAsia="en-US"/>
        </w:rPr>
        <w:t xml:space="preserve"> el derecho de acceso a la información, consiste en una prerrogativa de cualquier persona, a solicitar información pública que conste en documentos generados, obtenidos, adquiridos, transformados o que tengan en posesión los sujetos obligados.</w:t>
      </w:r>
      <w:r w:rsidRPr="00D10FF9">
        <w:rPr>
          <w:rFonts w:ascii="Palatino Linotype" w:eastAsiaTheme="minorHAnsi" w:hAnsi="Palatino Linotype" w:cstheme="minorBidi"/>
          <w:lang w:eastAsia="en-US"/>
        </w:rPr>
        <w:t xml:space="preserve"> Lo anterior, con fundamento en lo dispuesto por el artículo 4 de la Ley </w:t>
      </w:r>
      <w:r>
        <w:rPr>
          <w:rFonts w:ascii="Palatino Linotype" w:hAnsi="Palatino Linotype"/>
        </w:rPr>
        <w:t>de Transparencia y Acceso a la Información Pública del Estado de México y Municipios.</w:t>
      </w:r>
    </w:p>
    <w:p w:rsidR="00631C0B" w:rsidRDefault="00631C0B" w:rsidP="00631C0B">
      <w:pPr>
        <w:tabs>
          <w:tab w:val="left" w:pos="4962"/>
        </w:tabs>
        <w:spacing w:before="100" w:beforeAutospacing="1" w:after="100" w:afterAutospacing="1" w:line="360" w:lineRule="auto"/>
        <w:jc w:val="both"/>
        <w:rPr>
          <w:rFonts w:ascii="Palatino Linotype" w:hAnsi="Palatino Linotype"/>
        </w:rPr>
      </w:pPr>
      <w:r>
        <w:rPr>
          <w:rFonts w:ascii="Palatino Linotype" w:hAnsi="Palatino Linotype"/>
        </w:rPr>
        <w:t xml:space="preserve">En ese sentido, en el caso que nos ocupa y tal y como fue referido por la Ponencia Resolutora la solicitud de aclaración del </w:t>
      </w:r>
      <w:r w:rsidRPr="00D10FF9">
        <w:rPr>
          <w:rFonts w:ascii="Palatino Linotype" w:hAnsi="Palatino Linotype"/>
          <w:b/>
        </w:rPr>
        <w:t>SUJETO OBLIGADO</w:t>
      </w:r>
      <w:r>
        <w:rPr>
          <w:rFonts w:ascii="Palatino Linotype" w:hAnsi="Palatino Linotype"/>
        </w:rPr>
        <w:t xml:space="preserve"> no era procedente pues del análisis a la solicitud de acceso a la información se </w:t>
      </w:r>
      <w:r>
        <w:rPr>
          <w:rFonts w:ascii="Palatino Linotype" w:hAnsi="Palatino Linotype"/>
          <w:b/>
        </w:rPr>
        <w:t>aprecia</w:t>
      </w:r>
      <w:r w:rsidRPr="00734CD7">
        <w:rPr>
          <w:rFonts w:ascii="Palatino Linotype" w:hAnsi="Palatino Linotype"/>
          <w:b/>
        </w:rPr>
        <w:t>n elementos que permitan identificar la información requerida</w:t>
      </w:r>
      <w:r>
        <w:rPr>
          <w:rFonts w:ascii="Palatino Linotype" w:hAnsi="Palatino Linotype"/>
        </w:rPr>
        <w:t xml:space="preserve">, en términos de los dispuesto por los artículos 12, 19 y 159 </w:t>
      </w:r>
      <w:r w:rsidRPr="00D10FF9">
        <w:rPr>
          <w:rFonts w:ascii="Palatino Linotype" w:eastAsiaTheme="minorHAnsi" w:hAnsi="Palatino Linotype" w:cstheme="minorBidi"/>
          <w:lang w:eastAsia="en-US"/>
        </w:rPr>
        <w:t xml:space="preserve">de la Ley </w:t>
      </w:r>
      <w:r>
        <w:rPr>
          <w:rFonts w:ascii="Palatino Linotype" w:hAnsi="Palatino Linotype"/>
        </w:rPr>
        <w:t>de Transparencia y Acceso a la Información Pública del Estado de México y Municipios.</w:t>
      </w:r>
    </w:p>
    <w:p w:rsidR="00296A29" w:rsidRDefault="00296A29" w:rsidP="00631C0B">
      <w:pPr>
        <w:tabs>
          <w:tab w:val="left" w:pos="4962"/>
        </w:tabs>
        <w:spacing w:before="100" w:beforeAutospacing="1" w:after="100" w:afterAutospacing="1" w:line="360" w:lineRule="auto"/>
        <w:jc w:val="both"/>
        <w:rPr>
          <w:rFonts w:ascii="Palatino Linotype" w:hAnsi="Palatino Linotype"/>
        </w:rPr>
      </w:pPr>
      <w:r>
        <w:rPr>
          <w:rFonts w:ascii="Palatino Linotype" w:hAnsi="Palatino Linotype"/>
        </w:rPr>
        <w:t>Robustece lo anterior, el criterio 16/17 emitido por el Instituto Nacional de Transparencia, Acceso a la Información y Protección de Datos Personales (INAI), que es del tenor siguiente:</w:t>
      </w:r>
    </w:p>
    <w:p w:rsidR="00296A29" w:rsidRPr="00296A29" w:rsidRDefault="00296A29" w:rsidP="00296A29">
      <w:pPr>
        <w:tabs>
          <w:tab w:val="left" w:pos="4962"/>
        </w:tabs>
        <w:spacing w:before="100" w:beforeAutospacing="1" w:after="100" w:afterAutospacing="1"/>
        <w:ind w:left="851" w:right="899"/>
        <w:jc w:val="both"/>
        <w:rPr>
          <w:rFonts w:ascii="Palatino Linotype" w:eastAsiaTheme="minorHAnsi" w:hAnsi="Palatino Linotype" w:cstheme="minorBidi"/>
          <w:i/>
          <w:sz w:val="22"/>
          <w:szCs w:val="22"/>
          <w:lang w:eastAsia="en-US"/>
        </w:rPr>
      </w:pPr>
      <w:r w:rsidRPr="00296A29">
        <w:rPr>
          <w:rFonts w:ascii="Palatino Linotype" w:eastAsiaTheme="minorHAnsi" w:hAnsi="Palatino Linotype" w:cstheme="minorBidi"/>
          <w:b/>
          <w:i/>
          <w:sz w:val="22"/>
          <w:szCs w:val="22"/>
          <w:lang w:eastAsia="en-US"/>
        </w:rPr>
        <w:t>Expresión documental.</w:t>
      </w:r>
      <w:r w:rsidRPr="00296A29">
        <w:rPr>
          <w:rFonts w:ascii="Palatino Linotype" w:eastAsiaTheme="minorHAnsi" w:hAnsi="Palatino Linotype" w:cstheme="minorBidi"/>
          <w:i/>
          <w:sz w:val="22"/>
          <w:szCs w:val="22"/>
          <w:lang w:eastAsia="en-US"/>
        </w:rPr>
        <w:t xml:space="preserve"> Cuando los particulares presenten solicitudes de acceso a la información sin identificar de forma precisa la documentación que pudiera </w:t>
      </w:r>
      <w:r w:rsidRPr="00296A29">
        <w:rPr>
          <w:rFonts w:ascii="Palatino Linotype" w:eastAsiaTheme="minorHAnsi" w:hAnsi="Palatino Linotype" w:cstheme="minorBidi"/>
          <w:i/>
          <w:sz w:val="22"/>
          <w:szCs w:val="22"/>
          <w:lang w:eastAsia="en-US"/>
        </w:rPr>
        <w:lastRenderedPageBreak/>
        <w:t xml:space="preserve">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296A29" w:rsidRPr="00296A29" w:rsidRDefault="00296A29" w:rsidP="00296A29">
      <w:pPr>
        <w:tabs>
          <w:tab w:val="left" w:pos="4962"/>
        </w:tabs>
        <w:spacing w:before="100" w:beforeAutospacing="1" w:after="100" w:afterAutospacing="1"/>
        <w:ind w:left="851" w:right="899"/>
        <w:jc w:val="both"/>
        <w:rPr>
          <w:rFonts w:ascii="Palatino Linotype" w:eastAsiaTheme="minorHAnsi" w:hAnsi="Palatino Linotype" w:cstheme="minorBidi"/>
          <w:i/>
          <w:sz w:val="22"/>
          <w:szCs w:val="22"/>
          <w:lang w:eastAsia="en-US"/>
        </w:rPr>
      </w:pPr>
      <w:r w:rsidRPr="00296A29">
        <w:rPr>
          <w:rFonts w:ascii="Palatino Linotype" w:eastAsiaTheme="minorHAnsi" w:hAnsi="Palatino Linotype" w:cstheme="minorBidi"/>
          <w:i/>
          <w:sz w:val="22"/>
          <w:szCs w:val="22"/>
          <w:lang w:eastAsia="en-US"/>
        </w:rPr>
        <w:t>Resoluciones:</w:t>
      </w:r>
    </w:p>
    <w:p w:rsidR="00296A29" w:rsidRPr="00296A29" w:rsidRDefault="00296A29" w:rsidP="00296A29">
      <w:pPr>
        <w:tabs>
          <w:tab w:val="left" w:pos="4962"/>
        </w:tabs>
        <w:spacing w:before="100" w:beforeAutospacing="1" w:after="100" w:afterAutospacing="1"/>
        <w:ind w:left="851" w:right="899"/>
        <w:jc w:val="both"/>
        <w:rPr>
          <w:rFonts w:ascii="Palatino Linotype" w:eastAsiaTheme="minorHAnsi" w:hAnsi="Palatino Linotype" w:cstheme="minorBidi"/>
          <w:i/>
          <w:sz w:val="22"/>
          <w:szCs w:val="22"/>
          <w:lang w:eastAsia="en-US"/>
        </w:rPr>
      </w:pPr>
      <w:r>
        <w:rPr>
          <w:rFonts w:ascii="Palatino Linotype" w:eastAsiaTheme="minorHAnsi" w:hAnsi="Palatino Linotype" w:cstheme="minorBidi"/>
          <w:i/>
          <w:sz w:val="22"/>
          <w:szCs w:val="22"/>
          <w:lang w:eastAsia="en-US"/>
        </w:rPr>
        <w:t xml:space="preserve">• </w:t>
      </w:r>
      <w:r w:rsidRPr="00296A29">
        <w:rPr>
          <w:rFonts w:ascii="Palatino Linotype" w:eastAsiaTheme="minorHAnsi" w:hAnsi="Palatino Linotype" w:cstheme="minorBidi"/>
          <w:i/>
          <w:sz w:val="22"/>
          <w:szCs w:val="22"/>
          <w:lang w:eastAsia="en-US"/>
        </w:rPr>
        <w:t>RRA 0774/16. Secretaría de Salud. 31 de agosto de 2016. Por unanimidad. Comisionada Ponente María Patricia Kurczyn Villalobos.</w:t>
      </w:r>
    </w:p>
    <w:p w:rsidR="00296A29" w:rsidRPr="00296A29" w:rsidRDefault="00296A29" w:rsidP="00296A29">
      <w:pPr>
        <w:tabs>
          <w:tab w:val="left" w:pos="4962"/>
        </w:tabs>
        <w:spacing w:before="100" w:beforeAutospacing="1" w:after="100" w:afterAutospacing="1"/>
        <w:ind w:left="851" w:right="899"/>
        <w:jc w:val="both"/>
        <w:rPr>
          <w:rFonts w:ascii="Palatino Linotype" w:eastAsiaTheme="minorHAnsi" w:hAnsi="Palatino Linotype" w:cstheme="minorBidi"/>
          <w:i/>
          <w:sz w:val="22"/>
          <w:szCs w:val="22"/>
          <w:lang w:eastAsia="en-US"/>
        </w:rPr>
      </w:pPr>
      <w:r>
        <w:rPr>
          <w:rFonts w:ascii="Palatino Linotype" w:eastAsiaTheme="minorHAnsi" w:hAnsi="Palatino Linotype" w:cstheme="minorBidi"/>
          <w:i/>
          <w:sz w:val="22"/>
          <w:szCs w:val="22"/>
          <w:lang w:eastAsia="en-US"/>
        </w:rPr>
        <w:t xml:space="preserve">• </w:t>
      </w:r>
      <w:r w:rsidRPr="00296A29">
        <w:rPr>
          <w:rFonts w:ascii="Palatino Linotype" w:eastAsiaTheme="minorHAnsi" w:hAnsi="Palatino Linotype" w:cstheme="minorBidi"/>
          <w:i/>
          <w:sz w:val="22"/>
          <w:szCs w:val="22"/>
          <w:lang w:eastAsia="en-US"/>
        </w:rPr>
        <w:t xml:space="preserve">RRA 0143/17. Universidad Autónoma Agraria Antonio Narro. 22 de febrero de 2017. Por unanimidad. Comisionado Ponente Oscar Mauricio Guerra Ford. </w:t>
      </w:r>
    </w:p>
    <w:p w:rsidR="00296A29" w:rsidRPr="00296A29" w:rsidRDefault="00296A29" w:rsidP="00296A29">
      <w:pPr>
        <w:tabs>
          <w:tab w:val="left" w:pos="4962"/>
        </w:tabs>
        <w:spacing w:before="100" w:beforeAutospacing="1" w:after="100" w:afterAutospacing="1"/>
        <w:ind w:left="851" w:right="899"/>
        <w:jc w:val="both"/>
        <w:rPr>
          <w:rFonts w:ascii="Palatino Linotype" w:eastAsiaTheme="minorHAnsi" w:hAnsi="Palatino Linotype" w:cstheme="minorBidi"/>
          <w:i/>
          <w:sz w:val="22"/>
          <w:szCs w:val="22"/>
          <w:lang w:eastAsia="en-US"/>
        </w:rPr>
      </w:pPr>
      <w:r>
        <w:rPr>
          <w:rFonts w:ascii="Palatino Linotype" w:eastAsiaTheme="minorHAnsi" w:hAnsi="Palatino Linotype" w:cstheme="minorBidi"/>
          <w:i/>
          <w:sz w:val="22"/>
          <w:szCs w:val="22"/>
          <w:lang w:eastAsia="en-US"/>
        </w:rPr>
        <w:t xml:space="preserve">• </w:t>
      </w:r>
      <w:r w:rsidRPr="00296A29">
        <w:rPr>
          <w:rFonts w:ascii="Palatino Linotype" w:eastAsiaTheme="minorHAnsi" w:hAnsi="Palatino Linotype" w:cstheme="minorBidi"/>
          <w:i/>
          <w:sz w:val="22"/>
          <w:szCs w:val="22"/>
          <w:lang w:eastAsia="en-US"/>
        </w:rPr>
        <w:t>RRA 0540/17. Secretaría de Economía. 08 de marzo del 2017. Por unanimidad. Comisionado Ponente Francisco Javier Acuña Llamas.</w:t>
      </w:r>
    </w:p>
    <w:p w:rsidR="00296A29" w:rsidRDefault="00296A29" w:rsidP="00296A29">
      <w:pPr>
        <w:spacing w:before="100" w:beforeAutospacing="1" w:after="100" w:afterAutospacing="1" w:line="360" w:lineRule="auto"/>
        <w:ind w:right="49"/>
        <w:jc w:val="both"/>
        <w:rPr>
          <w:rFonts w:ascii="Palatino Linotype" w:hAnsi="Palatino Linotype"/>
        </w:rPr>
      </w:pPr>
      <w:r w:rsidRPr="00296A29">
        <w:rPr>
          <w:rFonts w:ascii="Palatino Linotype" w:hAnsi="Palatino Linotype"/>
        </w:rPr>
        <w:t>A</w:t>
      </w:r>
      <w:r>
        <w:rPr>
          <w:rFonts w:ascii="Palatino Linotype" w:hAnsi="Palatino Linotype"/>
        </w:rPr>
        <w:t>unado a lo anterior, estimo que la Ponencia Resolutora debió atender a lo dispuesto por el ar</w:t>
      </w:r>
      <w:r w:rsidRPr="00296A29">
        <w:rPr>
          <w:rFonts w:ascii="Palatino Linotype" w:hAnsi="Palatino Linotype"/>
        </w:rPr>
        <w:t>tículo 13</w:t>
      </w:r>
      <w:r>
        <w:rPr>
          <w:rFonts w:ascii="Palatino Linotype" w:hAnsi="Palatino Linotype"/>
        </w:rPr>
        <w:t xml:space="preserve"> de la Ley de Transparencia y Acceso a la Información del Estado de México y Municipios, a fin de</w:t>
      </w:r>
      <w:r w:rsidRPr="00296A29">
        <w:rPr>
          <w:rFonts w:ascii="Palatino Linotype" w:hAnsi="Palatino Linotype"/>
        </w:rPr>
        <w:t xml:space="preserve"> su</w:t>
      </w:r>
      <w:r>
        <w:rPr>
          <w:rFonts w:ascii="Palatino Linotype" w:hAnsi="Palatino Linotype"/>
        </w:rPr>
        <w:t xml:space="preserve">plir cualquier deficiencia para </w:t>
      </w:r>
      <w:r w:rsidRPr="00296A29">
        <w:rPr>
          <w:rFonts w:ascii="Palatino Linotype" w:hAnsi="Palatino Linotype"/>
        </w:rPr>
        <w:t>garantizar el ejercicio del der</w:t>
      </w:r>
      <w:r>
        <w:rPr>
          <w:rFonts w:ascii="Palatino Linotype" w:hAnsi="Palatino Linotype"/>
        </w:rPr>
        <w:t>echo de acceso a la información; máxime que, de conformidad con el diverso artículo 18, los</w:t>
      </w:r>
      <w:r w:rsidRPr="00296A29">
        <w:rPr>
          <w:rFonts w:ascii="Palatino Linotype" w:hAnsi="Palatino Linotype"/>
        </w:rPr>
        <w:t xml:space="preserve"> sujetos obligados deben documentar todo acto que derive del ejercicio de sus</w:t>
      </w:r>
      <w:r>
        <w:rPr>
          <w:rFonts w:ascii="Palatino Linotype" w:hAnsi="Palatino Linotype"/>
        </w:rPr>
        <w:t xml:space="preserve"> </w:t>
      </w:r>
      <w:r w:rsidRPr="00296A29">
        <w:rPr>
          <w:rFonts w:ascii="Palatino Linotype" w:hAnsi="Palatino Linotype"/>
        </w:rPr>
        <w:t>facultades, competencias o funciones, considerando desde su origen la eventual publicidad y</w:t>
      </w:r>
      <w:r>
        <w:rPr>
          <w:rFonts w:ascii="Palatino Linotype" w:hAnsi="Palatino Linotype"/>
        </w:rPr>
        <w:t xml:space="preserve"> </w:t>
      </w:r>
      <w:r w:rsidRPr="00296A29">
        <w:rPr>
          <w:rFonts w:ascii="Palatino Linotype" w:hAnsi="Palatino Linotype"/>
        </w:rPr>
        <w:t>reutilización</w:t>
      </w:r>
      <w:r>
        <w:rPr>
          <w:rFonts w:ascii="Palatino Linotype" w:hAnsi="Palatino Linotype"/>
        </w:rPr>
        <w:t xml:space="preserve"> de la información que generen.</w:t>
      </w:r>
    </w:p>
    <w:p w:rsidR="00631C0B" w:rsidRPr="00734CD7" w:rsidRDefault="00631C0B" w:rsidP="00631C0B">
      <w:pPr>
        <w:spacing w:before="100" w:beforeAutospacing="1" w:after="100" w:afterAutospacing="1" w:line="360" w:lineRule="auto"/>
        <w:ind w:right="49"/>
        <w:jc w:val="both"/>
        <w:rPr>
          <w:rFonts w:ascii="Palatino Linotype" w:hAnsi="Palatino Linotype"/>
        </w:rPr>
      </w:pPr>
      <w:r>
        <w:rPr>
          <w:rFonts w:ascii="Palatino Linotype" w:hAnsi="Palatino Linotype"/>
        </w:rPr>
        <w:t xml:space="preserve">Por ello, la suscrita emite el presente </w:t>
      </w:r>
      <w:r w:rsidRPr="00D10FF9">
        <w:rPr>
          <w:rFonts w:ascii="Palatino Linotype" w:hAnsi="Palatino Linotype"/>
          <w:b/>
        </w:rPr>
        <w:t>VOTO PARTICULAR</w:t>
      </w:r>
      <w:r>
        <w:rPr>
          <w:rFonts w:ascii="Palatino Linotype" w:hAnsi="Palatino Linotype"/>
        </w:rPr>
        <w:t xml:space="preserve">, toda vez que considero que la Ponencia Resolutora debió ordenar dar vista al Titular del </w:t>
      </w:r>
      <w:r w:rsidRPr="002B3EDB">
        <w:rPr>
          <w:rFonts w:ascii="Palatino Linotype" w:hAnsi="Palatino Linotype"/>
        </w:rPr>
        <w:t>Órgano de Control Interno de Verificación y Vigilancia de este Instituto</w:t>
      </w:r>
      <w:r>
        <w:rPr>
          <w:rFonts w:ascii="Palatino Linotype" w:hAnsi="Palatino Linotype"/>
        </w:rPr>
        <w:t>,</w:t>
      </w:r>
      <w:r w:rsidRPr="002B3EDB">
        <w:rPr>
          <w:rFonts w:ascii="Palatino Linotype" w:hAnsi="Palatino Linotype"/>
        </w:rPr>
        <w:t xml:space="preserve"> a fin de que en el ejercicio de sus atribuciones determinara lo conducente</w:t>
      </w:r>
      <w:r>
        <w:rPr>
          <w:rFonts w:ascii="Palatino Linotype" w:hAnsi="Palatino Linotype"/>
        </w:rPr>
        <w:t xml:space="preserve">, en atención a que </w:t>
      </w:r>
      <w:r w:rsidRPr="00D10FF9">
        <w:rPr>
          <w:rFonts w:ascii="Palatino Linotype" w:hAnsi="Palatino Linotype"/>
          <w:b/>
        </w:rPr>
        <w:t>EL SUJETO</w:t>
      </w:r>
      <w:r>
        <w:rPr>
          <w:rFonts w:ascii="Palatino Linotype" w:hAnsi="Palatino Linotype"/>
        </w:rPr>
        <w:t xml:space="preserve"> </w:t>
      </w:r>
      <w:r w:rsidRPr="00D10FF9">
        <w:rPr>
          <w:rFonts w:ascii="Palatino Linotype" w:hAnsi="Palatino Linotype"/>
          <w:b/>
        </w:rPr>
        <w:t>OBLIGADO</w:t>
      </w:r>
      <w:r>
        <w:rPr>
          <w:rFonts w:ascii="Palatino Linotype" w:hAnsi="Palatino Linotype"/>
        </w:rPr>
        <w:t xml:space="preserve"> tuvo por no presentada la solicitud de acceso a la información</w:t>
      </w:r>
      <w:r w:rsidR="00296A29">
        <w:rPr>
          <w:rFonts w:ascii="Palatino Linotype" w:hAnsi="Palatino Linotype"/>
        </w:rPr>
        <w:t xml:space="preserve">; por lo que se configura </w:t>
      </w:r>
      <w:r w:rsidR="00296A29">
        <w:rPr>
          <w:rFonts w:ascii="Palatino Linotype" w:hAnsi="Palatino Linotype"/>
        </w:rPr>
        <w:lastRenderedPageBreak/>
        <w:t xml:space="preserve">la negativa a entregar la información solicitada; </w:t>
      </w:r>
      <w:r w:rsidR="00B915BE">
        <w:rPr>
          <w:rFonts w:ascii="Palatino Linotype" w:hAnsi="Palatino Linotype"/>
        </w:rPr>
        <w:t xml:space="preserve">resultando aplicable lo dispuesto por el artículo 190 </w:t>
      </w:r>
      <w:r>
        <w:rPr>
          <w:rFonts w:ascii="Palatino Linotype" w:hAnsi="Palatino Linotype"/>
        </w:rPr>
        <w:t xml:space="preserve">de la </w:t>
      </w:r>
      <w:r w:rsidRPr="00D10FF9">
        <w:rPr>
          <w:rFonts w:ascii="Palatino Linotype" w:eastAsiaTheme="minorHAnsi" w:hAnsi="Palatino Linotype" w:cstheme="minorBidi"/>
          <w:lang w:eastAsia="en-US"/>
        </w:rPr>
        <w:t xml:space="preserve">Ley </w:t>
      </w:r>
      <w:r>
        <w:rPr>
          <w:rFonts w:ascii="Palatino Linotype" w:hAnsi="Palatino Linotype"/>
        </w:rPr>
        <w:t>de Transparencia y Acceso a la Información Pública del Estado de México y Municipios</w:t>
      </w:r>
      <w:r w:rsidR="00B915BE">
        <w:rPr>
          <w:rFonts w:ascii="Palatino Linotype" w:hAnsi="Palatino Linotype"/>
        </w:rPr>
        <w:t>, en relación con la indebida aplicación del diverso artículo 159</w:t>
      </w:r>
      <w:r w:rsidR="00296A29">
        <w:rPr>
          <w:rFonts w:ascii="Palatino Linotype" w:hAnsi="Palatino Linotype"/>
        </w:rPr>
        <w:t>.</w:t>
      </w:r>
    </w:p>
    <w:p w:rsidR="00522F0D" w:rsidRDefault="00522F0D" w:rsidP="00631C0B">
      <w:pPr>
        <w:spacing w:before="100" w:beforeAutospacing="1" w:after="100" w:afterAutospacing="1" w:line="360" w:lineRule="auto"/>
        <w:jc w:val="both"/>
        <w:rPr>
          <w:rFonts w:ascii="Palatino Linotype" w:hAnsi="Palatino Linotype"/>
        </w:rPr>
      </w:pPr>
    </w:p>
    <w:p w:rsidR="00051667" w:rsidRDefault="00051667" w:rsidP="00631C0B">
      <w:pPr>
        <w:spacing w:before="100" w:beforeAutospacing="1" w:after="100" w:afterAutospacing="1"/>
        <w:jc w:val="center"/>
        <w:rPr>
          <w:rFonts w:ascii="Palatino Linotype" w:hAnsi="Palatino Linotype"/>
          <w:b/>
        </w:rPr>
      </w:pPr>
    </w:p>
    <w:p w:rsidR="00631C0B" w:rsidRDefault="00631C0B" w:rsidP="00631C0B">
      <w:pPr>
        <w:spacing w:before="100" w:beforeAutospacing="1" w:after="100" w:afterAutospacing="1"/>
        <w:jc w:val="center"/>
        <w:rPr>
          <w:rFonts w:ascii="Palatino Linotype" w:hAnsi="Palatino Linotype"/>
          <w:b/>
        </w:rPr>
      </w:pPr>
    </w:p>
    <w:p w:rsidR="00631C0B" w:rsidRDefault="00631C0B" w:rsidP="00631C0B">
      <w:pPr>
        <w:spacing w:before="100" w:beforeAutospacing="1" w:after="100" w:afterAutospacing="1"/>
        <w:jc w:val="center"/>
        <w:rPr>
          <w:rFonts w:ascii="Palatino Linotype" w:hAnsi="Palatino Linotype"/>
          <w:b/>
        </w:rPr>
      </w:pPr>
    </w:p>
    <w:p w:rsidR="00631C0B" w:rsidRDefault="00631C0B" w:rsidP="00631C0B">
      <w:pPr>
        <w:spacing w:before="100" w:beforeAutospacing="1" w:after="100" w:afterAutospacing="1"/>
        <w:jc w:val="center"/>
        <w:rPr>
          <w:rFonts w:ascii="Palatino Linotype" w:hAnsi="Palatino Linotype"/>
          <w:b/>
        </w:rPr>
      </w:pPr>
    </w:p>
    <w:p w:rsidR="00631C0B" w:rsidRDefault="00631C0B" w:rsidP="00631C0B">
      <w:pPr>
        <w:spacing w:before="100" w:beforeAutospacing="1" w:after="100" w:afterAutospacing="1"/>
        <w:jc w:val="center"/>
        <w:rPr>
          <w:rFonts w:ascii="Palatino Linotype" w:hAnsi="Palatino Linotype"/>
          <w:b/>
        </w:rPr>
      </w:pPr>
    </w:p>
    <w:p w:rsidR="00631C0B" w:rsidRDefault="00631C0B" w:rsidP="00631C0B">
      <w:pPr>
        <w:spacing w:before="100" w:beforeAutospacing="1" w:after="100" w:afterAutospacing="1"/>
        <w:jc w:val="center"/>
        <w:rPr>
          <w:rFonts w:ascii="Palatino Linotype" w:hAnsi="Palatino Linotype"/>
          <w:b/>
        </w:rPr>
      </w:pPr>
    </w:p>
    <w:p w:rsidR="008509CE" w:rsidRDefault="008509CE" w:rsidP="00631C0B">
      <w:pPr>
        <w:spacing w:before="100" w:beforeAutospacing="1" w:after="100" w:afterAutospacing="1"/>
        <w:jc w:val="center"/>
        <w:rPr>
          <w:rFonts w:ascii="Palatino Linotype" w:hAnsi="Palatino Linotype"/>
          <w:b/>
        </w:rPr>
      </w:pPr>
    </w:p>
    <w:p w:rsidR="008509CE" w:rsidRDefault="008509CE" w:rsidP="00631C0B">
      <w:pPr>
        <w:spacing w:before="100" w:beforeAutospacing="1" w:after="100" w:afterAutospacing="1"/>
        <w:jc w:val="center"/>
        <w:rPr>
          <w:rFonts w:ascii="Palatino Linotype" w:hAnsi="Palatino Linotype"/>
          <w:b/>
        </w:rPr>
      </w:pPr>
    </w:p>
    <w:p w:rsidR="00670931" w:rsidRPr="00535456" w:rsidRDefault="00670931" w:rsidP="00631C0B">
      <w:pPr>
        <w:jc w:val="center"/>
        <w:rPr>
          <w:rFonts w:ascii="Palatino Linotype" w:hAnsi="Palatino Linotype"/>
          <w:b/>
        </w:rPr>
      </w:pPr>
      <w:r w:rsidRPr="00535456">
        <w:rPr>
          <w:rFonts w:ascii="Palatino Linotype" w:hAnsi="Palatino Linotype"/>
          <w:b/>
        </w:rPr>
        <w:t>EVA ABAID YAPUR</w:t>
      </w:r>
    </w:p>
    <w:p w:rsidR="00670931" w:rsidRPr="00535456" w:rsidRDefault="00670931" w:rsidP="00631C0B">
      <w:pPr>
        <w:jc w:val="center"/>
        <w:rPr>
          <w:rFonts w:ascii="Palatino Linotype" w:hAnsi="Palatino Linotype"/>
          <w:b/>
        </w:rPr>
      </w:pPr>
      <w:r w:rsidRPr="00535456">
        <w:rPr>
          <w:rFonts w:ascii="Palatino Linotype" w:hAnsi="Palatino Linotype"/>
          <w:b/>
        </w:rPr>
        <w:t>COMISIONADA</w:t>
      </w:r>
    </w:p>
    <w:p w:rsidR="008509CE" w:rsidRPr="008509CE" w:rsidRDefault="008509CE" w:rsidP="008509CE">
      <w:pPr>
        <w:jc w:val="center"/>
        <w:rPr>
          <w:rFonts w:ascii="Palatino Linotype" w:hAnsi="Palatino Linotype"/>
          <w:b/>
        </w:rPr>
      </w:pPr>
      <w:r w:rsidRPr="008509CE">
        <w:rPr>
          <w:rFonts w:ascii="Palatino Linotype" w:hAnsi="Palatino Linotype"/>
          <w:b/>
        </w:rPr>
        <w:t>(RÚBRICA)</w:t>
      </w:r>
    </w:p>
    <w:p w:rsidR="00EF530D" w:rsidRDefault="00EF530D" w:rsidP="00631C0B">
      <w:pPr>
        <w:jc w:val="center"/>
        <w:rPr>
          <w:rFonts w:ascii="Palatino Linotype" w:hAnsi="Palatino Linotype"/>
          <w:b/>
        </w:rPr>
      </w:pPr>
    </w:p>
    <w:p w:rsidR="006A535A" w:rsidRDefault="006A535A" w:rsidP="006A535A">
      <w:pPr>
        <w:jc w:val="both"/>
        <w:rPr>
          <w:rFonts w:ascii="Palatino Linotype" w:eastAsia="Calibri" w:hAnsi="Palatino Linotype" w:cs="Arial"/>
          <w:sz w:val="20"/>
        </w:rPr>
      </w:pPr>
      <w:bookmarkStart w:id="0" w:name="_GoBack"/>
      <w:bookmarkEnd w:id="0"/>
    </w:p>
    <w:p w:rsidR="00D36CA8" w:rsidRDefault="00D05D82" w:rsidP="006A535A">
      <w:pPr>
        <w:jc w:val="both"/>
        <w:rPr>
          <w:rFonts w:ascii="Palatino Linotype" w:eastAsia="Calibri" w:hAnsi="Palatino Linotype" w:cs="Arial"/>
          <w:sz w:val="20"/>
        </w:rPr>
      </w:pPr>
      <w:r w:rsidRPr="00535456">
        <w:rPr>
          <w:rFonts w:ascii="Palatino Linotype" w:eastAsia="Calibri" w:hAnsi="Palatino Linotype" w:cs="Arial"/>
          <w:sz w:val="20"/>
        </w:rPr>
        <w:t>E</w:t>
      </w:r>
      <w:r w:rsidR="00A517EA" w:rsidRPr="00535456">
        <w:rPr>
          <w:rFonts w:ascii="Palatino Linotype" w:eastAsia="Calibri" w:hAnsi="Palatino Linotype" w:cs="Arial"/>
          <w:sz w:val="20"/>
        </w:rPr>
        <w:t xml:space="preserve">sta hoja corresponde al voto particular emitido </w:t>
      </w:r>
      <w:r w:rsidR="005B3099" w:rsidRPr="00535456">
        <w:rPr>
          <w:rFonts w:ascii="Palatino Linotype" w:eastAsia="Calibri" w:hAnsi="Palatino Linotype" w:cs="Arial"/>
          <w:sz w:val="20"/>
        </w:rPr>
        <w:t>en la resolución d</w:t>
      </w:r>
      <w:r w:rsidR="00A517EA" w:rsidRPr="00535456">
        <w:rPr>
          <w:rFonts w:ascii="Palatino Linotype" w:eastAsia="Calibri" w:hAnsi="Palatino Linotype" w:cs="Arial"/>
          <w:sz w:val="20"/>
        </w:rPr>
        <w:t>e</w:t>
      </w:r>
      <w:r w:rsidR="00BF70B2" w:rsidRPr="00535456">
        <w:rPr>
          <w:rFonts w:ascii="Palatino Linotype" w:eastAsia="Calibri" w:hAnsi="Palatino Linotype" w:cs="Arial"/>
          <w:sz w:val="20"/>
        </w:rPr>
        <w:t xml:space="preserve">l Recurso de Revisión </w:t>
      </w:r>
      <w:r w:rsidR="00E92479">
        <w:rPr>
          <w:rFonts w:ascii="Palatino Linotype" w:eastAsia="Calibri" w:hAnsi="Palatino Linotype" w:cs="Arial"/>
          <w:sz w:val="20"/>
        </w:rPr>
        <w:t>00006</w:t>
      </w:r>
      <w:r w:rsidR="00670931" w:rsidRPr="00535456">
        <w:rPr>
          <w:rFonts w:ascii="Palatino Linotype" w:eastAsia="Calibri" w:hAnsi="Palatino Linotype" w:cs="Arial"/>
          <w:sz w:val="20"/>
        </w:rPr>
        <w:t>/INFOEM/IP/RR/201</w:t>
      </w:r>
      <w:r w:rsidR="00E92479">
        <w:rPr>
          <w:rFonts w:ascii="Palatino Linotype" w:eastAsia="Calibri" w:hAnsi="Palatino Linotype" w:cs="Arial"/>
          <w:sz w:val="20"/>
        </w:rPr>
        <w:t>9</w:t>
      </w:r>
      <w:r w:rsidR="006C63C4" w:rsidRPr="00535456">
        <w:rPr>
          <w:rFonts w:ascii="Palatino Linotype" w:eastAsia="Calibri" w:hAnsi="Palatino Linotype" w:cs="Arial"/>
          <w:sz w:val="20"/>
        </w:rPr>
        <w:t xml:space="preserve">, aprobada el </w:t>
      </w:r>
      <w:r w:rsidR="00704C25">
        <w:rPr>
          <w:rFonts w:ascii="Palatino Linotype" w:eastAsia="Calibri" w:hAnsi="Palatino Linotype" w:cs="Arial"/>
          <w:sz w:val="20"/>
        </w:rPr>
        <w:t>veint</w:t>
      </w:r>
      <w:r w:rsidR="00E92479">
        <w:rPr>
          <w:rFonts w:ascii="Palatino Linotype" w:eastAsia="Calibri" w:hAnsi="Palatino Linotype" w:cs="Arial"/>
          <w:sz w:val="20"/>
        </w:rPr>
        <w:t>isie</w:t>
      </w:r>
      <w:r w:rsidR="00F65BE7">
        <w:rPr>
          <w:rFonts w:ascii="Palatino Linotype" w:eastAsia="Calibri" w:hAnsi="Palatino Linotype" w:cs="Arial"/>
          <w:sz w:val="20"/>
        </w:rPr>
        <w:t>t</w:t>
      </w:r>
      <w:r w:rsidR="00704C25">
        <w:rPr>
          <w:rFonts w:ascii="Palatino Linotype" w:eastAsia="Calibri" w:hAnsi="Palatino Linotype" w:cs="Arial"/>
          <w:sz w:val="20"/>
        </w:rPr>
        <w:t>e</w:t>
      </w:r>
      <w:r w:rsidR="004D5015">
        <w:rPr>
          <w:rFonts w:ascii="Palatino Linotype" w:eastAsia="Calibri" w:hAnsi="Palatino Linotype" w:cs="Arial"/>
          <w:sz w:val="20"/>
        </w:rPr>
        <w:t xml:space="preserve"> de febrero</w:t>
      </w:r>
      <w:r w:rsidR="00BF70B2" w:rsidRPr="00535456">
        <w:rPr>
          <w:rFonts w:ascii="Palatino Linotype" w:eastAsia="Calibri" w:hAnsi="Palatino Linotype" w:cs="Arial"/>
          <w:sz w:val="20"/>
        </w:rPr>
        <w:t xml:space="preserve"> de dos </w:t>
      </w:r>
      <w:r w:rsidR="005B3099" w:rsidRPr="00535456">
        <w:rPr>
          <w:rFonts w:ascii="Palatino Linotype" w:eastAsia="Calibri" w:hAnsi="Palatino Linotype" w:cs="Arial"/>
          <w:sz w:val="20"/>
        </w:rPr>
        <w:t>mil</w:t>
      </w:r>
      <w:r w:rsidR="00BF70B2" w:rsidRPr="00535456">
        <w:rPr>
          <w:rFonts w:ascii="Palatino Linotype" w:eastAsia="Calibri" w:hAnsi="Palatino Linotype" w:cs="Arial"/>
          <w:sz w:val="20"/>
        </w:rPr>
        <w:t xml:space="preserve"> diecinueve</w:t>
      </w:r>
      <w:r w:rsidR="00A517EA" w:rsidRPr="00535456">
        <w:rPr>
          <w:rFonts w:ascii="Palatino Linotype" w:eastAsia="Calibri" w:hAnsi="Palatino Linotype" w:cs="Arial"/>
          <w:sz w:val="20"/>
        </w:rPr>
        <w:t xml:space="preserve">. </w:t>
      </w:r>
    </w:p>
    <w:p w:rsidR="006A535A" w:rsidRPr="006A535A" w:rsidRDefault="006A535A" w:rsidP="006A535A">
      <w:pPr>
        <w:jc w:val="both"/>
        <w:rPr>
          <w:rFonts w:ascii="Palatino Linotype" w:eastAsia="Calibri" w:hAnsi="Palatino Linotype" w:cs="Arial"/>
          <w:sz w:val="8"/>
          <w:szCs w:val="8"/>
        </w:rPr>
      </w:pPr>
    </w:p>
    <w:p w:rsidR="00A517EA" w:rsidRPr="00535456" w:rsidRDefault="00A517EA" w:rsidP="006A535A">
      <w:pPr>
        <w:jc w:val="both"/>
        <w:rPr>
          <w:rFonts w:ascii="Palatino Linotype" w:hAnsi="Palatino Linotype"/>
          <w:sz w:val="20"/>
        </w:rPr>
      </w:pPr>
      <w:r w:rsidRPr="00535456">
        <w:rPr>
          <w:rFonts w:ascii="Palatino Linotype" w:eastAsia="Calibri" w:hAnsi="Palatino Linotype" w:cs="Arial"/>
          <w:sz w:val="20"/>
        </w:rPr>
        <w:t>YSM/</w:t>
      </w:r>
      <w:r w:rsidR="00820DBE" w:rsidRPr="00535456">
        <w:rPr>
          <w:rFonts w:ascii="Palatino Linotype" w:eastAsia="Calibri" w:hAnsi="Palatino Linotype" w:cs="Arial"/>
          <w:noProof/>
          <w:sz w:val="20"/>
          <w:lang w:eastAsia="es-MX"/>
        </w:rPr>
        <w:t>CBO</w:t>
      </w:r>
    </w:p>
    <w:sectPr w:rsidR="00A517EA" w:rsidRPr="00535456"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4F5" w:rsidRDefault="006244F5" w:rsidP="00DB3A83">
      <w:r>
        <w:separator/>
      </w:r>
    </w:p>
  </w:endnote>
  <w:endnote w:type="continuationSeparator" w:id="0">
    <w:p w:rsidR="006244F5" w:rsidRDefault="006244F5"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6A535A" w:rsidRDefault="006A535A"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509C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509C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4F5" w:rsidRDefault="006244F5" w:rsidP="00DB3A83">
      <w:r>
        <w:separator/>
      </w:r>
    </w:p>
  </w:footnote>
  <w:footnote w:type="continuationSeparator" w:id="0">
    <w:p w:rsidR="006244F5" w:rsidRDefault="006244F5"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6A535A" w:rsidP="008B6C66">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B6C66" w:rsidRDefault="006A535A" w:rsidP="008B6C66">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8B6C66" w:rsidRDefault="006A535A" w:rsidP="008B6C66">
    <w:pPr>
      <w:pStyle w:val="Encabezado"/>
      <w:tabs>
        <w:tab w:val="clear" w:pos="4252"/>
        <w:tab w:val="clear" w:pos="8504"/>
        <w:tab w:val="left" w:pos="2326"/>
      </w:tabs>
      <w:jc w:val="right"/>
      <w:rPr>
        <w:rFonts w:ascii="Palatino Linotype" w:hAnsi="Palatino Linotype"/>
      </w:rPr>
    </w:pPr>
    <w:r>
      <w:rPr>
        <w:rFonts w:ascii="Palatino Linotype" w:hAnsi="Palatino Linotype" w:cs="Arial"/>
        <w:sz w:val="20"/>
        <w:szCs w:val="20"/>
      </w:rPr>
      <w:t>00006</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Pr>
        <w:rFonts w:ascii="Palatino Linotype" w:hAnsi="Palatino Linotype" w:cs="Arial"/>
        <w:sz w:val="20"/>
        <w:szCs w:val="20"/>
      </w:rPr>
      <w:t>9</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8509CE"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00.3pt;height:92.0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5">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9"/>
  </w:num>
  <w:num w:numId="2">
    <w:abstractNumId w:val="6"/>
  </w:num>
  <w:num w:numId="3">
    <w:abstractNumId w:val="1"/>
  </w:num>
  <w:num w:numId="4">
    <w:abstractNumId w:val="2"/>
  </w:num>
  <w:num w:numId="5">
    <w:abstractNumId w:val="0"/>
  </w:num>
  <w:num w:numId="6">
    <w:abstractNumId w:val="5"/>
  </w:num>
  <w:num w:numId="7">
    <w:abstractNumId w:val="10"/>
  </w:num>
  <w:num w:numId="8">
    <w:abstractNumId w:val="4"/>
  </w:num>
  <w:num w:numId="9">
    <w:abstractNumId w:val="3"/>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CE"/>
    <w:rsid w:val="000B471A"/>
    <w:rsid w:val="000B74DA"/>
    <w:rsid w:val="000C3264"/>
    <w:rsid w:val="000C5CF3"/>
    <w:rsid w:val="000D7C3A"/>
    <w:rsid w:val="000E2C82"/>
    <w:rsid w:val="000F0C55"/>
    <w:rsid w:val="000F4E57"/>
    <w:rsid w:val="00117480"/>
    <w:rsid w:val="00131CAC"/>
    <w:rsid w:val="0013225E"/>
    <w:rsid w:val="00177DF1"/>
    <w:rsid w:val="00191CF3"/>
    <w:rsid w:val="001976FE"/>
    <w:rsid w:val="001B6DD5"/>
    <w:rsid w:val="001C04AC"/>
    <w:rsid w:val="001C7E83"/>
    <w:rsid w:val="001E5D0F"/>
    <w:rsid w:val="001F45A6"/>
    <w:rsid w:val="00213C1A"/>
    <w:rsid w:val="00216380"/>
    <w:rsid w:val="00224A94"/>
    <w:rsid w:val="00224BDD"/>
    <w:rsid w:val="00233EC9"/>
    <w:rsid w:val="00247E02"/>
    <w:rsid w:val="002506AD"/>
    <w:rsid w:val="00254372"/>
    <w:rsid w:val="00260EA1"/>
    <w:rsid w:val="00266D54"/>
    <w:rsid w:val="002670A2"/>
    <w:rsid w:val="00296A29"/>
    <w:rsid w:val="00296C85"/>
    <w:rsid w:val="002C6DCC"/>
    <w:rsid w:val="002E01EA"/>
    <w:rsid w:val="002F7B17"/>
    <w:rsid w:val="00303EAE"/>
    <w:rsid w:val="00324EBE"/>
    <w:rsid w:val="00331542"/>
    <w:rsid w:val="00340950"/>
    <w:rsid w:val="0034097B"/>
    <w:rsid w:val="00343E64"/>
    <w:rsid w:val="0037730C"/>
    <w:rsid w:val="00387039"/>
    <w:rsid w:val="0039638A"/>
    <w:rsid w:val="003A6BF6"/>
    <w:rsid w:val="003B0314"/>
    <w:rsid w:val="003C2F6A"/>
    <w:rsid w:val="003C5476"/>
    <w:rsid w:val="003F730A"/>
    <w:rsid w:val="00403656"/>
    <w:rsid w:val="004275EC"/>
    <w:rsid w:val="00437359"/>
    <w:rsid w:val="00445701"/>
    <w:rsid w:val="00460F1A"/>
    <w:rsid w:val="00464124"/>
    <w:rsid w:val="00474B93"/>
    <w:rsid w:val="00487B66"/>
    <w:rsid w:val="004B5C25"/>
    <w:rsid w:val="004B6DDA"/>
    <w:rsid w:val="004D5015"/>
    <w:rsid w:val="005124B3"/>
    <w:rsid w:val="00522F0D"/>
    <w:rsid w:val="0053148C"/>
    <w:rsid w:val="00535456"/>
    <w:rsid w:val="00536147"/>
    <w:rsid w:val="00553BC6"/>
    <w:rsid w:val="0057297A"/>
    <w:rsid w:val="00584608"/>
    <w:rsid w:val="005A4D7F"/>
    <w:rsid w:val="005B3099"/>
    <w:rsid w:val="005E5BA4"/>
    <w:rsid w:val="00623D4F"/>
    <w:rsid w:val="006244F5"/>
    <w:rsid w:val="00631C0B"/>
    <w:rsid w:val="00654FE9"/>
    <w:rsid w:val="00666737"/>
    <w:rsid w:val="00670931"/>
    <w:rsid w:val="006801D4"/>
    <w:rsid w:val="006A33F9"/>
    <w:rsid w:val="006A535A"/>
    <w:rsid w:val="006B0D54"/>
    <w:rsid w:val="006B2453"/>
    <w:rsid w:val="006B30CD"/>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09CE"/>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608D4"/>
    <w:rsid w:val="00960ACD"/>
    <w:rsid w:val="00962C2E"/>
    <w:rsid w:val="00970770"/>
    <w:rsid w:val="009726DC"/>
    <w:rsid w:val="00990B93"/>
    <w:rsid w:val="009C2142"/>
    <w:rsid w:val="009F0C59"/>
    <w:rsid w:val="009F3E24"/>
    <w:rsid w:val="00A06423"/>
    <w:rsid w:val="00A12991"/>
    <w:rsid w:val="00A15DD9"/>
    <w:rsid w:val="00A2795F"/>
    <w:rsid w:val="00A517EA"/>
    <w:rsid w:val="00A7788C"/>
    <w:rsid w:val="00A82F41"/>
    <w:rsid w:val="00A863E9"/>
    <w:rsid w:val="00A95F70"/>
    <w:rsid w:val="00A96975"/>
    <w:rsid w:val="00AA09B9"/>
    <w:rsid w:val="00AA7C2A"/>
    <w:rsid w:val="00AC2253"/>
    <w:rsid w:val="00AF01BA"/>
    <w:rsid w:val="00B12945"/>
    <w:rsid w:val="00B30650"/>
    <w:rsid w:val="00B40C46"/>
    <w:rsid w:val="00B6126C"/>
    <w:rsid w:val="00B756DB"/>
    <w:rsid w:val="00B860BF"/>
    <w:rsid w:val="00B872F3"/>
    <w:rsid w:val="00B90FAF"/>
    <w:rsid w:val="00B915BE"/>
    <w:rsid w:val="00BB74CD"/>
    <w:rsid w:val="00BE0300"/>
    <w:rsid w:val="00BF70B2"/>
    <w:rsid w:val="00C06571"/>
    <w:rsid w:val="00C5282C"/>
    <w:rsid w:val="00C67C31"/>
    <w:rsid w:val="00C90A7B"/>
    <w:rsid w:val="00C92A63"/>
    <w:rsid w:val="00CE0D21"/>
    <w:rsid w:val="00CE71FD"/>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90BA5"/>
    <w:rsid w:val="00E92479"/>
    <w:rsid w:val="00EA42ED"/>
    <w:rsid w:val="00EB1D9E"/>
    <w:rsid w:val="00ED77B9"/>
    <w:rsid w:val="00EE5465"/>
    <w:rsid w:val="00EF530D"/>
    <w:rsid w:val="00F054F8"/>
    <w:rsid w:val="00F10238"/>
    <w:rsid w:val="00F2362C"/>
    <w:rsid w:val="00F33B5B"/>
    <w:rsid w:val="00F37E80"/>
    <w:rsid w:val="00F441FF"/>
    <w:rsid w:val="00F51491"/>
    <w:rsid w:val="00F579EE"/>
    <w:rsid w:val="00F64CC1"/>
    <w:rsid w:val="00F65BE7"/>
    <w:rsid w:val="00F733A3"/>
    <w:rsid w:val="00F91A7F"/>
    <w:rsid w:val="00FA0BF5"/>
    <w:rsid w:val="00FA5F51"/>
    <w:rsid w:val="00FB6F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61061-400C-4925-B6CF-F6526A358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1485</Words>
  <Characters>8168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8</cp:revision>
  <cp:lastPrinted>2019-02-28T17:56:00Z</cp:lastPrinted>
  <dcterms:created xsi:type="dcterms:W3CDTF">2019-02-28T15:32:00Z</dcterms:created>
  <dcterms:modified xsi:type="dcterms:W3CDTF">2019-03-15T00:48:00Z</dcterms:modified>
</cp:coreProperties>
</file>